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22BA3" w14:textId="77777777" w:rsidR="00FE39CD" w:rsidRPr="00805B01" w:rsidRDefault="00FE39CD" w:rsidP="00FE39CD">
      <w:pPr>
        <w:pStyle w:val="Docketnumber"/>
        <w:rPr>
          <w:sz w:val="24"/>
          <w:szCs w:val="24"/>
        </w:rPr>
      </w:pPr>
      <w:r w:rsidRPr="00805B01">
        <w:rPr>
          <w:sz w:val="24"/>
          <w:szCs w:val="24"/>
        </w:rPr>
        <w:t>docket No. 5</w:t>
      </w:r>
      <w:r>
        <w:rPr>
          <w:sz w:val="24"/>
          <w:szCs w:val="24"/>
        </w:rPr>
        <w:t>3184</w:t>
      </w:r>
    </w:p>
    <w:p w14:paraId="40510261" w14:textId="77777777" w:rsidR="00FE39CD" w:rsidRPr="00805B01" w:rsidRDefault="00FE39CD" w:rsidP="00FE39CD">
      <w:pPr>
        <w:jc w:val="center"/>
        <w:rPr>
          <w:b/>
          <w:szCs w:val="24"/>
        </w:rPr>
      </w:pPr>
    </w:p>
    <w:tbl>
      <w:tblPr>
        <w:tblW w:w="9364" w:type="dxa"/>
        <w:tblLayout w:type="fixed"/>
        <w:tblLook w:val="01E0" w:firstRow="1" w:lastRow="1" w:firstColumn="1" w:lastColumn="1" w:noHBand="0" w:noVBand="0"/>
      </w:tblPr>
      <w:tblGrid>
        <w:gridCol w:w="4459"/>
        <w:gridCol w:w="236"/>
        <w:gridCol w:w="4669"/>
      </w:tblGrid>
      <w:tr w:rsidR="00FE39CD" w:rsidRPr="00805B01" w14:paraId="3439CB04" w14:textId="77777777" w:rsidTr="00757CBE">
        <w:trPr>
          <w:trHeight w:val="1152"/>
        </w:trPr>
        <w:tc>
          <w:tcPr>
            <w:tcW w:w="4459" w:type="dxa"/>
          </w:tcPr>
          <w:p w14:paraId="7ED507F2" w14:textId="77777777" w:rsidR="00FE39CD" w:rsidRPr="00805B01" w:rsidRDefault="00FE39CD" w:rsidP="00757CBE">
            <w:pPr>
              <w:jc w:val="left"/>
              <w:rPr>
                <w:b/>
                <w:szCs w:val="24"/>
              </w:rPr>
            </w:pPr>
            <w:r>
              <w:rPr>
                <w:b/>
                <w:szCs w:val="24"/>
              </w:rPr>
              <w:t>JACOB AND JENNIE HILBIG’S APPEAL OF THE COST OF OBTAINING SERVICE FROM AQUA WATER SUPPLY CORPORATION</w:t>
            </w:r>
          </w:p>
        </w:tc>
        <w:tc>
          <w:tcPr>
            <w:tcW w:w="236" w:type="dxa"/>
          </w:tcPr>
          <w:p w14:paraId="4D9EBE68" w14:textId="77777777" w:rsidR="00FE39CD" w:rsidRPr="00805B01" w:rsidRDefault="00FE39CD" w:rsidP="00757CBE">
            <w:pPr>
              <w:jc w:val="center"/>
              <w:rPr>
                <w:b/>
                <w:szCs w:val="24"/>
              </w:rPr>
            </w:pPr>
            <w:r w:rsidRPr="00805B01">
              <w:rPr>
                <w:b/>
                <w:szCs w:val="24"/>
              </w:rPr>
              <w:t>§</w:t>
            </w:r>
          </w:p>
          <w:p w14:paraId="5DFB8069" w14:textId="77777777" w:rsidR="00FE39CD" w:rsidRPr="00805B01" w:rsidRDefault="00FE39CD" w:rsidP="00757CBE">
            <w:pPr>
              <w:jc w:val="center"/>
              <w:rPr>
                <w:b/>
                <w:szCs w:val="24"/>
              </w:rPr>
            </w:pPr>
            <w:r w:rsidRPr="00805B01">
              <w:rPr>
                <w:b/>
                <w:szCs w:val="24"/>
              </w:rPr>
              <w:t>§</w:t>
            </w:r>
          </w:p>
          <w:p w14:paraId="147A13D0" w14:textId="77777777" w:rsidR="00FE39CD" w:rsidRPr="00805B01" w:rsidRDefault="00FE39CD" w:rsidP="00757CBE">
            <w:pPr>
              <w:jc w:val="center"/>
              <w:rPr>
                <w:b/>
                <w:szCs w:val="24"/>
              </w:rPr>
            </w:pPr>
            <w:r w:rsidRPr="00805B01">
              <w:rPr>
                <w:b/>
                <w:szCs w:val="24"/>
              </w:rPr>
              <w:t>§</w:t>
            </w:r>
          </w:p>
          <w:p w14:paraId="2A56D9F9" w14:textId="77777777" w:rsidR="00FE39CD" w:rsidRPr="00805B01" w:rsidRDefault="00FE39CD" w:rsidP="00757CBE">
            <w:pPr>
              <w:jc w:val="center"/>
              <w:rPr>
                <w:b/>
                <w:szCs w:val="24"/>
              </w:rPr>
            </w:pPr>
            <w:r w:rsidRPr="00805B01">
              <w:rPr>
                <w:b/>
                <w:szCs w:val="24"/>
              </w:rPr>
              <w:t>§</w:t>
            </w:r>
          </w:p>
        </w:tc>
        <w:tc>
          <w:tcPr>
            <w:tcW w:w="4669" w:type="dxa"/>
          </w:tcPr>
          <w:p w14:paraId="60F4DCE7" w14:textId="77777777" w:rsidR="00FE39CD" w:rsidRPr="00805B01" w:rsidRDefault="00FE39CD" w:rsidP="00757CBE">
            <w:pPr>
              <w:pStyle w:val="Docketstyle"/>
              <w:spacing w:line="240" w:lineRule="auto"/>
              <w:jc w:val="center"/>
              <w:rPr>
                <w:bCs/>
                <w:szCs w:val="24"/>
              </w:rPr>
            </w:pPr>
            <w:r w:rsidRPr="00805B01">
              <w:rPr>
                <w:bCs/>
                <w:szCs w:val="24"/>
              </w:rPr>
              <w:t>PUBLIC UTILITY COMMISSION</w:t>
            </w:r>
          </w:p>
          <w:p w14:paraId="2CCB73A5" w14:textId="77777777" w:rsidR="00FE39CD" w:rsidRPr="00805B01" w:rsidRDefault="00FE39CD" w:rsidP="00757CBE">
            <w:pPr>
              <w:pStyle w:val="Docketstyle"/>
              <w:spacing w:line="240" w:lineRule="auto"/>
              <w:jc w:val="center"/>
              <w:rPr>
                <w:bCs/>
                <w:szCs w:val="24"/>
              </w:rPr>
            </w:pPr>
          </w:p>
          <w:p w14:paraId="14203FBC" w14:textId="77777777" w:rsidR="00FE39CD" w:rsidRPr="00805B01" w:rsidRDefault="00FE39CD" w:rsidP="00757CBE">
            <w:pPr>
              <w:pStyle w:val="Docketstyle"/>
              <w:spacing w:line="240" w:lineRule="auto"/>
              <w:jc w:val="center"/>
              <w:rPr>
                <w:bCs/>
                <w:szCs w:val="24"/>
              </w:rPr>
            </w:pPr>
            <w:r w:rsidRPr="00805B01">
              <w:rPr>
                <w:bCs/>
                <w:szCs w:val="24"/>
              </w:rPr>
              <w:t>OF TEXAS</w:t>
            </w:r>
          </w:p>
        </w:tc>
      </w:tr>
    </w:tbl>
    <w:p w14:paraId="0618A01E" w14:textId="77777777" w:rsidR="000406A5" w:rsidRPr="007E7CAE" w:rsidRDefault="000406A5" w:rsidP="000406A5">
      <w:pPr>
        <w:pStyle w:val="Documentheading"/>
        <w:rPr>
          <w:sz w:val="24"/>
          <w:szCs w:val="24"/>
          <w:highlight w:val="yellow"/>
        </w:rPr>
      </w:pPr>
    </w:p>
    <w:p w14:paraId="79C34244" w14:textId="2DE6BDA3" w:rsidR="000406A5" w:rsidRPr="005B05A5" w:rsidRDefault="000406A5" w:rsidP="000406A5">
      <w:pPr>
        <w:pStyle w:val="Documentheading"/>
        <w:rPr>
          <w:sz w:val="24"/>
          <w:szCs w:val="24"/>
        </w:rPr>
      </w:pPr>
      <w:r w:rsidRPr="005B05A5">
        <w:rPr>
          <w:sz w:val="24"/>
          <w:szCs w:val="24"/>
        </w:rPr>
        <w:t xml:space="preserve">COMMISSION STAFF’S </w:t>
      </w:r>
      <w:r w:rsidR="007676A8">
        <w:rPr>
          <w:sz w:val="24"/>
          <w:szCs w:val="24"/>
        </w:rPr>
        <w:t xml:space="preserve">ReSPONSE TO </w:t>
      </w:r>
      <w:r w:rsidR="000A7B43">
        <w:rPr>
          <w:sz w:val="24"/>
          <w:szCs w:val="24"/>
        </w:rPr>
        <w:t xml:space="preserve">Aqua water supply corporation’s </w:t>
      </w:r>
      <w:r w:rsidR="007676A8">
        <w:rPr>
          <w:sz w:val="24"/>
          <w:szCs w:val="24"/>
        </w:rPr>
        <w:t xml:space="preserve">MOTION TO DISMISS </w:t>
      </w:r>
      <w:r w:rsidR="000A7B43">
        <w:rPr>
          <w:sz w:val="24"/>
          <w:szCs w:val="24"/>
        </w:rPr>
        <w:t>Jacob and Jennie Hilbig’s appeal fo the cost to obtain service</w:t>
      </w:r>
    </w:p>
    <w:p w14:paraId="52D21158" w14:textId="77777777" w:rsidR="000406A5" w:rsidRPr="00CA11ED" w:rsidRDefault="000406A5" w:rsidP="000406A5">
      <w:pPr>
        <w:pStyle w:val="Documentheading"/>
      </w:pPr>
    </w:p>
    <w:p w14:paraId="42B8EDD4" w14:textId="77777777" w:rsidR="000A7B43" w:rsidRDefault="000A7B43" w:rsidP="000A7B43">
      <w:pPr>
        <w:spacing w:line="360" w:lineRule="auto"/>
        <w:ind w:firstLine="720"/>
        <w:rPr>
          <w:szCs w:val="24"/>
        </w:rPr>
      </w:pPr>
      <w:r w:rsidRPr="00805B01">
        <w:rPr>
          <w:szCs w:val="24"/>
        </w:rPr>
        <w:t xml:space="preserve">On </w:t>
      </w:r>
      <w:r>
        <w:rPr>
          <w:szCs w:val="24"/>
        </w:rPr>
        <w:t>February 3, 2022, Jacob and Jennie Hilbig (Appellants) filed an appeal of the cost of obtaining service from Aqua Water Supply Corporation (Aqua WSC) under Texas Water Code (TWC) § 13.043(g) and 16 Texas Administrative Code (TAC) § 24.101(g).</w:t>
      </w:r>
    </w:p>
    <w:p w14:paraId="61275F09" w14:textId="6EF86AAE" w:rsidR="000406A5" w:rsidRPr="009A0556" w:rsidRDefault="009A0556" w:rsidP="009A0556">
      <w:pPr>
        <w:pStyle w:val="Default"/>
        <w:spacing w:line="360" w:lineRule="auto"/>
        <w:ind w:firstLine="720"/>
      </w:pPr>
      <w:r>
        <w:t>On April 11, 2022, Aqua WSC filed a Response and Motion to Dismiss for lack of jurisdiction under 16 TAC § 22.181(d)(1). According to 16 TAC § 22.78(a), parties have five working days after receipt of the pleading to file a response. As the Public Utility Commission of Texas (</w:t>
      </w:r>
      <w:r w:rsidR="004D0169">
        <w:t>Commission</w:t>
      </w:r>
      <w:r>
        <w:t>) was closed on April 15, 2022,</w:t>
      </w:r>
      <w:r>
        <w:rPr>
          <w:rStyle w:val="FootnoteReference"/>
        </w:rPr>
        <w:footnoteReference w:id="1"/>
      </w:r>
      <w:r>
        <w:t xml:space="preserve"> five working days from April 11, 2022, is April 19, 2022. Therefore, this pleading is timely filed.</w:t>
      </w:r>
    </w:p>
    <w:p w14:paraId="7D38FFF8" w14:textId="549F9D6E" w:rsidR="007D5BC4" w:rsidRDefault="00402EE3" w:rsidP="00B4376A">
      <w:pPr>
        <w:pStyle w:val="ListParagraph"/>
        <w:numPr>
          <w:ilvl w:val="0"/>
          <w:numId w:val="1"/>
        </w:numPr>
        <w:spacing w:before="120" w:after="120" w:line="360" w:lineRule="auto"/>
        <w:ind w:left="0" w:firstLine="0"/>
        <w:contextualSpacing w:val="0"/>
        <w:jc w:val="center"/>
        <w:rPr>
          <w:b/>
        </w:rPr>
      </w:pPr>
      <w:r>
        <w:rPr>
          <w:b/>
        </w:rPr>
        <w:t xml:space="preserve">RESPONSE TO </w:t>
      </w:r>
      <w:r w:rsidR="000A7B43">
        <w:rPr>
          <w:b/>
        </w:rPr>
        <w:t>AQUA WATER SUPPLY CORPORATION’S MOTION TO DISMISS</w:t>
      </w:r>
      <w:r>
        <w:rPr>
          <w:b/>
        </w:rPr>
        <w:t xml:space="preserve"> </w:t>
      </w:r>
    </w:p>
    <w:p w14:paraId="1D8BDA3D" w14:textId="52CD2B35" w:rsidR="00B4376A" w:rsidRDefault="00B4376A" w:rsidP="00B4376A">
      <w:pPr>
        <w:pStyle w:val="ListParagraph"/>
        <w:spacing w:line="360" w:lineRule="auto"/>
        <w:ind w:left="0" w:firstLine="720"/>
        <w:contextualSpacing w:val="0"/>
      </w:pPr>
      <w:r>
        <w:t>In its motion to dismiss, Aqua WSC argues that the Appellants’ complaint should be dismissed for lack of jurisdiction under 16 TAC § 22.181(d)(1), because Appellants failed to file an appeal within 90 days of receiving written notice of the amount to be paid to obtain service, as required by TWC § 13.043(g) and 16 TAC § 24.101(g).</w:t>
      </w:r>
      <w:r>
        <w:rPr>
          <w:rStyle w:val="FootnoteReference"/>
        </w:rPr>
        <w:footnoteReference w:id="2"/>
      </w:r>
      <w:r>
        <w:t xml:space="preserve"> Specifically, Aqua WSC points to its </w:t>
      </w:r>
      <w:r w:rsidR="00F3458D">
        <w:t xml:space="preserve">July 8, 2021 letter to </w:t>
      </w:r>
      <w:r>
        <w:t xml:space="preserve">Dustin Wilhelm </w:t>
      </w:r>
      <w:r w:rsidR="00F3458D">
        <w:t>and Jacob Hilbig where Aqua</w:t>
      </w:r>
      <w:r w:rsidR="00DB3AAD">
        <w:t xml:space="preserve"> WSC</w:t>
      </w:r>
      <w:r w:rsidR="00F3458D">
        <w:t xml:space="preserve"> provided written notice of the amount to be paid to obtain service </w:t>
      </w:r>
      <w:r w:rsidR="00A52E3A">
        <w:t xml:space="preserve">in response to </w:t>
      </w:r>
      <w:r w:rsidR="00F3458D">
        <w:t xml:space="preserve">Mr. Wilhelm and Mr. </w:t>
      </w:r>
      <w:proofErr w:type="spellStart"/>
      <w:r w:rsidR="00F3458D">
        <w:t>Hilbig’s</w:t>
      </w:r>
      <w:proofErr w:type="spellEnd"/>
      <w:r w:rsidR="00F3458D">
        <w:t xml:space="preserve"> </w:t>
      </w:r>
      <w:r w:rsidR="00A52E3A">
        <w:t>request for</w:t>
      </w:r>
      <w:r w:rsidR="00BE1160">
        <w:t xml:space="preserve"> a joint</w:t>
      </w:r>
      <w:r w:rsidR="00A52E3A">
        <w:t xml:space="preserve"> feasibility study for their adjoining properties</w:t>
      </w:r>
      <w:r>
        <w:t>.</w:t>
      </w:r>
      <w:r w:rsidR="00F3458D">
        <w:rPr>
          <w:rStyle w:val="FootnoteReference"/>
        </w:rPr>
        <w:footnoteReference w:id="3"/>
      </w:r>
      <w:r>
        <w:t xml:space="preserve"> </w:t>
      </w:r>
      <w:r w:rsidR="00F3458D">
        <w:t xml:space="preserve">Aqua WSC argues that the July 8, 2021 letter should serve as the written response used to calculate the 90-day deadline, since that letter was </w:t>
      </w:r>
      <w:r w:rsidR="00F3458D">
        <w:lastRenderedPageBreak/>
        <w:t xml:space="preserve">responding to </w:t>
      </w:r>
      <w:r w:rsidR="00A0531F">
        <w:t xml:space="preserve">what Aqua WSC argues was </w:t>
      </w:r>
      <w:r w:rsidR="00F3458D">
        <w:t>the applicant’s initial request.</w:t>
      </w:r>
      <w:r w:rsidR="00F3458D">
        <w:rPr>
          <w:rStyle w:val="FootnoteReference"/>
        </w:rPr>
        <w:footnoteReference w:id="4"/>
      </w:r>
      <w:r w:rsidR="00AB1842">
        <w:t xml:space="preserve"> The Staff (Staff) of the </w:t>
      </w:r>
      <w:r w:rsidR="004D0169">
        <w:t xml:space="preserve">Commission </w:t>
      </w:r>
      <w:r w:rsidR="00AB1842">
        <w:t>disagrees.</w:t>
      </w:r>
    </w:p>
    <w:p w14:paraId="1AC88480" w14:textId="7111EECD" w:rsidR="00DB3AAD" w:rsidRDefault="00AB1842" w:rsidP="00B4376A">
      <w:pPr>
        <w:pStyle w:val="ListParagraph"/>
        <w:spacing w:line="360" w:lineRule="auto"/>
        <w:ind w:left="0" w:firstLine="720"/>
        <w:contextualSpacing w:val="0"/>
      </w:pPr>
      <w:r>
        <w:t xml:space="preserve">While </w:t>
      </w:r>
      <w:r w:rsidR="00DA1583">
        <w:t>Aqua WSC did provide written notice of the amount to be paid for service to Mr. Wilhelm and Mr. Hilbig on July 8, 2021, this is not the only time Aqua WSC responded to a request for feasibility study. On December 8, 2021, Jacob and Jennie Hilbig submitted another request for feasibility study for their property alone.</w:t>
      </w:r>
      <w:r w:rsidR="00DA1583">
        <w:rPr>
          <w:rStyle w:val="FootnoteReference"/>
        </w:rPr>
        <w:footnoteReference w:id="5"/>
      </w:r>
      <w:r w:rsidR="00DA1583">
        <w:t xml:space="preserve"> Aqua WSC </w:t>
      </w:r>
      <w:r w:rsidR="00DB3AAD">
        <w:t xml:space="preserve">sent the </w:t>
      </w:r>
      <w:proofErr w:type="spellStart"/>
      <w:r w:rsidR="00DB3AAD">
        <w:t>Hilbigs</w:t>
      </w:r>
      <w:proofErr w:type="spellEnd"/>
      <w:r w:rsidR="00DB3AAD">
        <w:t xml:space="preserve"> its response</w:t>
      </w:r>
      <w:r w:rsidR="00DA1583">
        <w:t xml:space="preserve"> </w:t>
      </w:r>
      <w:r w:rsidR="00A52E3A">
        <w:t>on December 20, 2021</w:t>
      </w:r>
      <w:r w:rsidR="00DB3AAD">
        <w:t xml:space="preserve">. </w:t>
      </w:r>
      <w:r w:rsidR="00C74FB4">
        <w:t xml:space="preserve">This December 20, </w:t>
      </w:r>
      <w:proofErr w:type="gramStart"/>
      <w:r w:rsidR="00C74FB4">
        <w:t>2021</w:t>
      </w:r>
      <w:proofErr w:type="gramEnd"/>
      <w:r w:rsidR="00C74FB4">
        <w:t xml:space="preserve"> notice is completely different from the notice Aqua WSC provided on July 8, 2021. For example, t</w:t>
      </w:r>
      <w:r w:rsidR="00DA1583">
        <w:t>h</w:t>
      </w:r>
      <w:r w:rsidR="00A52E3A">
        <w:t xml:space="preserve">e December 20, </w:t>
      </w:r>
      <w:proofErr w:type="gramStart"/>
      <w:r w:rsidR="00A52E3A">
        <w:t>2021</w:t>
      </w:r>
      <w:proofErr w:type="gramEnd"/>
      <w:r w:rsidR="00DA1583">
        <w:t xml:space="preserve"> </w:t>
      </w:r>
      <w:r w:rsidR="00A52E3A">
        <w:t>written notice</w:t>
      </w:r>
      <w:r w:rsidR="00DA1583">
        <w:t xml:space="preserve"> </w:t>
      </w:r>
      <w:r w:rsidR="00A52E3A">
        <w:t xml:space="preserve">contains different </w:t>
      </w:r>
      <w:r w:rsidR="00C74FB4">
        <w:t xml:space="preserve">item </w:t>
      </w:r>
      <w:r w:rsidR="00A52E3A">
        <w:t>quantities, unit prices, estimated costs, and line items from the written notice provided on July 8, 2021.</w:t>
      </w:r>
      <w:r w:rsidR="00A52E3A">
        <w:rPr>
          <w:rStyle w:val="FootnoteReference"/>
        </w:rPr>
        <w:footnoteReference w:id="6"/>
      </w:r>
      <w:r w:rsidR="00A52E3A">
        <w:t xml:space="preserve"> </w:t>
      </w:r>
      <w:r w:rsidR="00C74FB4">
        <w:t>The December 20, 2021 notice is also for one property, as opposed to two adjoining properties. The requests for service are also different. On May 11, 2021, Mr. Hilbig joined Mr. Wilhelm to request a joint estimate of the cost of service for their adjoining properties.</w:t>
      </w:r>
      <w:r w:rsidR="00C74FB4">
        <w:rPr>
          <w:rStyle w:val="FootnoteReference"/>
        </w:rPr>
        <w:footnoteReference w:id="7"/>
      </w:r>
      <w:r w:rsidR="006755B6">
        <w:t xml:space="preserve"> As mentioned above, Mr. and Mrs. Hilbig subsequently submitted another request to Aqua for an estimate of the cost of service for their property alone.</w:t>
      </w:r>
      <w:r w:rsidR="006755B6">
        <w:rPr>
          <w:rStyle w:val="FootnoteReference"/>
        </w:rPr>
        <w:footnoteReference w:id="8"/>
      </w:r>
      <w:r w:rsidR="006755B6">
        <w:t xml:space="preserve"> These two requests involve different parties for different properties and generated two different estimates from Aqua WSC. Accordingly, Staff contends that</w:t>
      </w:r>
      <w:r w:rsidR="00DB3AAD">
        <w:t xml:space="preserve"> the two notices from Aqua WSC are completely different and should be treated as such in calculating the 90-day deadline. </w:t>
      </w:r>
    </w:p>
    <w:p w14:paraId="4278934B" w14:textId="23FF782E" w:rsidR="00CB0783" w:rsidRDefault="00DB3AAD" w:rsidP="00B4376A">
      <w:pPr>
        <w:pStyle w:val="ListParagraph"/>
        <w:spacing w:line="360" w:lineRule="auto"/>
        <w:ind w:left="0" w:firstLine="720"/>
        <w:contextualSpacing w:val="0"/>
      </w:pPr>
      <w:r>
        <w:t>Even if the requests had been similar, Commission precedent demonstrates that two similar requests should nonetheless be treated as two different requests in calculating the 90-day deadline under TWC</w:t>
      </w:r>
      <w:r w:rsidR="004D0169">
        <w:t xml:space="preserve"> §</w:t>
      </w:r>
      <w:r>
        <w:t xml:space="preserve"> 13.043(g) and 16 TAC § 24.101(g).</w:t>
      </w:r>
      <w:r w:rsidR="00CB0783">
        <w:t xml:space="preserve"> In Docket No. 52166, Robert Wynne initially requested service and received written notice of the amount to be paid to obtain service on December </w:t>
      </w:r>
      <w:r w:rsidR="006317DB">
        <w:t>11</w:t>
      </w:r>
      <w:r w:rsidR="00CB0783">
        <w:t>, 2020</w:t>
      </w:r>
      <w:r w:rsidR="00066826">
        <w:t>, which he did not appeal</w:t>
      </w:r>
      <w:r w:rsidR="00CB0783">
        <w:t>.</w:t>
      </w:r>
      <w:r w:rsidR="00CB0783">
        <w:rPr>
          <w:rStyle w:val="FootnoteReference"/>
        </w:rPr>
        <w:footnoteReference w:id="9"/>
      </w:r>
      <w:r w:rsidR="006317DB">
        <w:t xml:space="preserve"> Mr. Wynne requested service again on April 12, 2021</w:t>
      </w:r>
      <w:r w:rsidR="00066826">
        <w:t>, and received an estimate that was appealed</w:t>
      </w:r>
      <w:r w:rsidR="006317DB">
        <w:t>.</w:t>
      </w:r>
      <w:r w:rsidR="006317DB">
        <w:rPr>
          <w:rStyle w:val="FootnoteReference"/>
        </w:rPr>
        <w:footnoteReference w:id="10"/>
      </w:r>
      <w:r w:rsidR="00066826">
        <w:t xml:space="preserve"> </w:t>
      </w:r>
      <w:r w:rsidR="00BE1160">
        <w:t xml:space="preserve">The </w:t>
      </w:r>
      <w:r w:rsidR="00066826">
        <w:t xml:space="preserve">water supply corporation </w:t>
      </w:r>
      <w:r w:rsidR="00BE1160">
        <w:t xml:space="preserve">in this case </w:t>
      </w:r>
      <w:r w:rsidR="00066826">
        <w:t xml:space="preserve">made a similar argument to Aqua WSC’s argument that the December 11, 2020 written notice should be </w:t>
      </w:r>
      <w:r w:rsidR="00066826">
        <w:lastRenderedPageBreak/>
        <w:t>used to calculate the 90-day deadline.</w:t>
      </w:r>
      <w:r w:rsidR="00066826">
        <w:rPr>
          <w:rStyle w:val="FootnoteReference"/>
        </w:rPr>
        <w:footnoteReference w:id="11"/>
      </w:r>
      <w:r w:rsidR="00066826">
        <w:t xml:space="preserve"> Despite the fact that Mr. Wynne’s April request involved the same property </w:t>
      </w:r>
      <w:r>
        <w:t xml:space="preserve">for the same party </w:t>
      </w:r>
      <w:r w:rsidR="00066826">
        <w:t>requesting the same initial service</w:t>
      </w:r>
      <w:r>
        <w:t xml:space="preserve"> as the December request</w:t>
      </w:r>
      <w:r w:rsidR="00066826">
        <w:t xml:space="preserve">, the </w:t>
      </w:r>
      <w:r w:rsidR="004D0169">
        <w:t xml:space="preserve">administrative law judge in that docket </w:t>
      </w:r>
      <w:r w:rsidR="00066826">
        <w:t>still found that the appeal application and notice was sufficient and declined to dismiss the case for failing to abide by the 90-day deadline.</w:t>
      </w:r>
      <w:r w:rsidR="00066826">
        <w:rPr>
          <w:rStyle w:val="FootnoteReference"/>
        </w:rPr>
        <w:footnoteReference w:id="12"/>
      </w:r>
      <w:r w:rsidR="00066826">
        <w:t xml:space="preserve"> </w:t>
      </w:r>
    </w:p>
    <w:p w14:paraId="49BF1227" w14:textId="026B70CE" w:rsidR="00F1148C" w:rsidRPr="00765DD9" w:rsidRDefault="00DB3AAD" w:rsidP="00765DD9">
      <w:pPr>
        <w:pStyle w:val="ListParagraph"/>
        <w:spacing w:line="360" w:lineRule="auto"/>
        <w:ind w:left="0" w:firstLine="720"/>
        <w:contextualSpacing w:val="0"/>
      </w:pPr>
      <w:r>
        <w:t>Considering the foregoing Commission precedent and the fact that the two requests and responses were so different</w:t>
      </w:r>
      <w:r w:rsidR="00765DD9">
        <w:t xml:space="preserve">, Staff contends that the 90-day deadline should be calculated from December 20, 2021, the date Aqua WSC responded to the </w:t>
      </w:r>
      <w:proofErr w:type="spellStart"/>
      <w:r w:rsidR="00765DD9">
        <w:t>Hilbig</w:t>
      </w:r>
      <w:r w:rsidR="009E5934">
        <w:t>’s</w:t>
      </w:r>
      <w:proofErr w:type="spellEnd"/>
      <w:r w:rsidR="00765DD9">
        <w:t xml:space="preserve"> December 8, </w:t>
      </w:r>
      <w:proofErr w:type="gramStart"/>
      <w:r w:rsidR="00765DD9">
        <w:t>2021</w:t>
      </w:r>
      <w:proofErr w:type="gramEnd"/>
      <w:r w:rsidR="00765DD9">
        <w:t xml:space="preserve"> request for service. Accordingly, Staff stands by its recommendation that the appeal petition is administratively complete</w:t>
      </w:r>
      <w:r w:rsidR="00765DD9">
        <w:rPr>
          <w:rStyle w:val="FootnoteReference"/>
        </w:rPr>
        <w:footnoteReference w:id="13"/>
      </w:r>
      <w:r w:rsidR="00765DD9">
        <w:t xml:space="preserve"> and does not agree that the petition should be dismissed for lack of jurisdiction.</w:t>
      </w:r>
    </w:p>
    <w:p w14:paraId="73E65D46" w14:textId="77777777" w:rsidR="000406A5" w:rsidRPr="006C66EE" w:rsidRDefault="000406A5" w:rsidP="00765DD9">
      <w:pPr>
        <w:pStyle w:val="ListParagraph"/>
        <w:numPr>
          <w:ilvl w:val="0"/>
          <w:numId w:val="1"/>
        </w:numPr>
        <w:spacing w:before="120" w:after="120" w:line="360" w:lineRule="auto"/>
        <w:contextualSpacing w:val="0"/>
        <w:jc w:val="center"/>
        <w:rPr>
          <w:b/>
        </w:rPr>
      </w:pPr>
      <w:r w:rsidRPr="006C66EE">
        <w:rPr>
          <w:b/>
        </w:rPr>
        <w:t>CONCLUSION</w:t>
      </w:r>
    </w:p>
    <w:p w14:paraId="67954728" w14:textId="447B9951" w:rsidR="000406A5" w:rsidRPr="006C66EE" w:rsidRDefault="000406A5" w:rsidP="000406A5">
      <w:pPr>
        <w:autoSpaceDE w:val="0"/>
        <w:autoSpaceDN w:val="0"/>
        <w:adjustRightInd w:val="0"/>
        <w:spacing w:line="360" w:lineRule="auto"/>
      </w:pPr>
      <w:r w:rsidRPr="006C66EE">
        <w:tab/>
        <w:t xml:space="preserve">For the reasons detailed above, Staff respectfully </w:t>
      </w:r>
      <w:r w:rsidR="007D5BC4">
        <w:t>requests that an order be issue</w:t>
      </w:r>
      <w:r w:rsidR="004C117D">
        <w:t>d</w:t>
      </w:r>
      <w:r w:rsidR="007D5BC4">
        <w:t xml:space="preserve"> consistent with this response</w:t>
      </w:r>
      <w:r w:rsidR="00D838A2">
        <w:t xml:space="preserve"> and that Aqua WSC’s motion to dismiss be denied.</w:t>
      </w:r>
    </w:p>
    <w:p w14:paraId="463E0174" w14:textId="77777777" w:rsidR="008A7478" w:rsidRPr="007E7CAE" w:rsidRDefault="008A7478" w:rsidP="000406A5">
      <w:pPr>
        <w:autoSpaceDE w:val="0"/>
        <w:autoSpaceDN w:val="0"/>
        <w:adjustRightInd w:val="0"/>
        <w:spacing w:line="360" w:lineRule="auto"/>
        <w:rPr>
          <w:highlight w:val="yellow"/>
        </w:rPr>
      </w:pPr>
    </w:p>
    <w:p w14:paraId="79CC8ECF" w14:textId="1AB25414" w:rsidR="00FE39CD" w:rsidRDefault="00FE39CD" w:rsidP="00765DD9">
      <w:pPr>
        <w:keepNext/>
        <w:spacing w:line="360" w:lineRule="auto"/>
      </w:pPr>
      <w:r w:rsidRPr="00933084">
        <w:rPr>
          <w:bCs/>
          <w:szCs w:val="24"/>
        </w:rPr>
        <w:lastRenderedPageBreak/>
        <w:t>Dated:</w:t>
      </w:r>
      <w:r>
        <w:rPr>
          <w:bCs/>
          <w:szCs w:val="24"/>
        </w:rPr>
        <w:t xml:space="preserve"> </w:t>
      </w:r>
      <w:r w:rsidRPr="00933084">
        <w:rPr>
          <w:bCs/>
          <w:szCs w:val="24"/>
        </w:rPr>
        <w:t xml:space="preserve">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9B5FB0">
        <w:rPr>
          <w:bCs/>
          <w:noProof/>
          <w:szCs w:val="24"/>
        </w:rPr>
        <w:t>April 18, 2022</w:t>
      </w:r>
      <w:r w:rsidRPr="00933084">
        <w:rPr>
          <w:bCs/>
          <w:szCs w:val="24"/>
        </w:rPr>
        <w:fldChar w:fldCharType="end"/>
      </w:r>
    </w:p>
    <w:p w14:paraId="378F982E" w14:textId="77777777" w:rsidR="00FE39CD" w:rsidRPr="00AF16ED" w:rsidRDefault="00FE39CD" w:rsidP="00765DD9">
      <w:pPr>
        <w:keepNext/>
        <w:spacing w:line="360" w:lineRule="auto"/>
      </w:pPr>
    </w:p>
    <w:p w14:paraId="1ACDF5A7" w14:textId="77777777" w:rsidR="00FE39CD" w:rsidRPr="00B92396" w:rsidRDefault="00FE39CD" w:rsidP="00765DD9">
      <w:pPr>
        <w:keepNext/>
        <w:spacing w:line="480" w:lineRule="auto"/>
        <w:ind w:left="3600" w:firstLine="720"/>
        <w:rPr>
          <w:szCs w:val="24"/>
        </w:rPr>
      </w:pPr>
      <w:r>
        <w:rPr>
          <w:szCs w:val="24"/>
        </w:rPr>
        <w:t>Respectfully s</w:t>
      </w:r>
      <w:r w:rsidRPr="00B92396">
        <w:rPr>
          <w:szCs w:val="24"/>
        </w:rPr>
        <w:t>ubmitted,</w:t>
      </w:r>
    </w:p>
    <w:p w14:paraId="6A55D272" w14:textId="77777777" w:rsidR="00FE39CD" w:rsidRPr="003F3549" w:rsidRDefault="00FE39CD" w:rsidP="00765DD9">
      <w:pPr>
        <w:keepNext/>
        <w:ind w:left="4320"/>
        <w:rPr>
          <w:b/>
          <w:szCs w:val="24"/>
        </w:rPr>
      </w:pPr>
      <w:r w:rsidRPr="003F3549">
        <w:rPr>
          <w:b/>
          <w:szCs w:val="24"/>
        </w:rPr>
        <w:t xml:space="preserve">PUBLIC UTILITY COMMISSION OF TEXAS </w:t>
      </w:r>
    </w:p>
    <w:p w14:paraId="797743E4" w14:textId="77777777" w:rsidR="00FE39CD" w:rsidRPr="003F3549" w:rsidRDefault="00FE39CD" w:rsidP="00765DD9">
      <w:pPr>
        <w:keepNext/>
        <w:ind w:left="4320"/>
        <w:rPr>
          <w:b/>
          <w:szCs w:val="24"/>
        </w:rPr>
      </w:pPr>
      <w:r w:rsidRPr="003F3549">
        <w:rPr>
          <w:b/>
          <w:szCs w:val="24"/>
        </w:rPr>
        <w:t>LEGAL DIVISION</w:t>
      </w:r>
    </w:p>
    <w:p w14:paraId="6F7471EB" w14:textId="77777777" w:rsidR="00FE39CD" w:rsidRPr="003F3549" w:rsidRDefault="00FE39CD" w:rsidP="00765DD9">
      <w:pPr>
        <w:keepNext/>
      </w:pPr>
    </w:p>
    <w:p w14:paraId="61433A62" w14:textId="42C1DB35" w:rsidR="00FE39CD" w:rsidRPr="009B5177" w:rsidRDefault="00FE39CD" w:rsidP="00765DD9">
      <w:pPr>
        <w:keepNext/>
        <w:rPr>
          <w:szCs w:val="24"/>
        </w:rPr>
      </w:pPr>
      <w:r w:rsidRPr="003F3549">
        <w:tab/>
      </w:r>
      <w:r w:rsidRPr="003F3549">
        <w:tab/>
      </w:r>
      <w:r w:rsidRPr="003F3549">
        <w:tab/>
      </w:r>
      <w:r w:rsidRPr="003F3549">
        <w:tab/>
      </w:r>
      <w:r w:rsidRPr="003F3549">
        <w:tab/>
      </w:r>
      <w:r w:rsidRPr="003F3549">
        <w:tab/>
      </w:r>
      <w:r w:rsidR="00393B0B">
        <w:rPr>
          <w:szCs w:val="24"/>
        </w:rPr>
        <w:t>Keith Rogas</w:t>
      </w:r>
    </w:p>
    <w:p w14:paraId="6B239EBC" w14:textId="77777777" w:rsidR="00FE39CD" w:rsidRPr="009B5177" w:rsidRDefault="00FE39CD" w:rsidP="00765DD9">
      <w:pPr>
        <w:keepNext/>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508D8A08" w14:textId="77777777" w:rsidR="00FE39CD" w:rsidRDefault="00FE39CD" w:rsidP="00765DD9">
      <w:pPr>
        <w:keepNext/>
        <w:rPr>
          <w:szCs w:val="24"/>
        </w:rPr>
      </w:pPr>
    </w:p>
    <w:p w14:paraId="60F538EF" w14:textId="3BE0A376" w:rsidR="00FE39CD" w:rsidRPr="0032162E" w:rsidRDefault="00FE39CD" w:rsidP="00765DD9">
      <w:pPr>
        <w:keepNext/>
        <w:ind w:left="4320"/>
        <w:rPr>
          <w:rFonts w:eastAsia="Calibri"/>
          <w:szCs w:val="24"/>
        </w:rPr>
      </w:pPr>
      <w:r>
        <w:rPr>
          <w:rFonts w:eastAsia="Calibri"/>
          <w:szCs w:val="24"/>
        </w:rPr>
        <w:t>Robert Dakota Parish</w:t>
      </w:r>
    </w:p>
    <w:p w14:paraId="3A961579" w14:textId="77777777" w:rsidR="00FE39CD" w:rsidRPr="0032162E" w:rsidRDefault="00FE39CD" w:rsidP="00765DD9">
      <w:pPr>
        <w:keepNext/>
        <w:ind w:left="4320"/>
        <w:rPr>
          <w:szCs w:val="24"/>
        </w:rPr>
      </w:pPr>
      <w:r w:rsidRPr="0032162E">
        <w:rPr>
          <w:szCs w:val="24"/>
        </w:rPr>
        <w:t>Managing Attorney</w:t>
      </w:r>
    </w:p>
    <w:p w14:paraId="2AC284F8" w14:textId="77777777" w:rsidR="00FE39CD" w:rsidRPr="0032162E" w:rsidRDefault="00FE39CD" w:rsidP="00765DD9">
      <w:pPr>
        <w:keepNext/>
        <w:rPr>
          <w:szCs w:val="24"/>
        </w:rPr>
      </w:pPr>
    </w:p>
    <w:p w14:paraId="0373F8E9" w14:textId="77777777" w:rsidR="00FE39CD" w:rsidRPr="00B72868" w:rsidRDefault="00FE39CD" w:rsidP="00765DD9">
      <w:pPr>
        <w:keepNext/>
        <w:ind w:left="4320"/>
        <w:rPr>
          <w:u w:val="single"/>
        </w:rPr>
      </w:pPr>
      <w:r w:rsidRPr="00B72868">
        <w:rPr>
          <w:u w:val="single"/>
        </w:rPr>
        <w:t>/s/ Ian Groetsch</w:t>
      </w:r>
    </w:p>
    <w:p w14:paraId="1320BBD1" w14:textId="77777777" w:rsidR="00FE39CD" w:rsidRPr="00B72868" w:rsidRDefault="00FE39CD" w:rsidP="00765DD9">
      <w:pPr>
        <w:keepNext/>
        <w:ind w:left="4320"/>
      </w:pPr>
      <w:r w:rsidRPr="00B72868">
        <w:t>Ian Groetsch</w:t>
      </w:r>
    </w:p>
    <w:p w14:paraId="69D20B1A" w14:textId="77777777" w:rsidR="00FE39CD" w:rsidRDefault="00FE39CD" w:rsidP="00765DD9">
      <w:pPr>
        <w:keepNext/>
        <w:ind w:left="4320"/>
        <w:rPr>
          <w:szCs w:val="24"/>
        </w:rPr>
      </w:pPr>
      <w:r w:rsidRPr="00B72868">
        <w:t>State Bar No.</w:t>
      </w:r>
      <w:r w:rsidRPr="00B72868">
        <w:rPr>
          <w:szCs w:val="24"/>
        </w:rPr>
        <w:t xml:space="preserve"> 24078599</w:t>
      </w:r>
    </w:p>
    <w:p w14:paraId="3A00DDE8" w14:textId="77777777" w:rsidR="00FE39CD" w:rsidRDefault="00FE39CD" w:rsidP="00765DD9">
      <w:pPr>
        <w:keepNext/>
        <w:ind w:left="4320"/>
      </w:pPr>
      <w:r>
        <w:t>Anthony Kanalas</w:t>
      </w:r>
    </w:p>
    <w:p w14:paraId="4E4DD19E" w14:textId="77777777" w:rsidR="00FE39CD" w:rsidRPr="00B72868" w:rsidRDefault="00FE39CD" w:rsidP="00765DD9">
      <w:pPr>
        <w:keepNext/>
        <w:ind w:left="4320"/>
      </w:pPr>
      <w:r>
        <w:t>State Bar No. 24125640</w:t>
      </w:r>
    </w:p>
    <w:p w14:paraId="1A6F670D" w14:textId="77777777" w:rsidR="00FE39CD" w:rsidRPr="0032162E" w:rsidRDefault="00FE39CD" w:rsidP="00765DD9">
      <w:pPr>
        <w:keepNext/>
      </w:pPr>
      <w:r w:rsidRPr="0032162E">
        <w:tab/>
      </w:r>
      <w:r w:rsidRPr="0032162E">
        <w:tab/>
      </w:r>
      <w:r w:rsidRPr="0032162E">
        <w:tab/>
      </w:r>
      <w:r w:rsidRPr="0032162E">
        <w:tab/>
      </w:r>
      <w:r w:rsidRPr="0032162E">
        <w:tab/>
      </w:r>
      <w:r w:rsidRPr="0032162E">
        <w:tab/>
        <w:t>1701 N. Congress Avenue</w:t>
      </w:r>
    </w:p>
    <w:p w14:paraId="3ED13098" w14:textId="77777777" w:rsidR="00FE39CD" w:rsidRPr="0032162E" w:rsidRDefault="00FE39CD" w:rsidP="00765DD9">
      <w:pPr>
        <w:pStyle w:val="Normaldouble"/>
        <w:keepNext/>
        <w:spacing w:line="240" w:lineRule="auto"/>
      </w:pPr>
      <w:r w:rsidRPr="0032162E">
        <w:tab/>
      </w:r>
      <w:r w:rsidRPr="0032162E">
        <w:tab/>
      </w:r>
      <w:r w:rsidRPr="0032162E">
        <w:tab/>
      </w:r>
      <w:r w:rsidRPr="0032162E">
        <w:tab/>
      </w:r>
      <w:r w:rsidRPr="0032162E">
        <w:tab/>
      </w:r>
      <w:r w:rsidRPr="0032162E">
        <w:tab/>
        <w:t>P.O. Box 13326</w:t>
      </w:r>
    </w:p>
    <w:p w14:paraId="7A420D02" w14:textId="77777777" w:rsidR="00FE39CD" w:rsidRPr="0032162E" w:rsidRDefault="00FE39CD" w:rsidP="00765DD9">
      <w:pPr>
        <w:pStyle w:val="Normaldouble"/>
        <w:keepNext/>
        <w:spacing w:line="240" w:lineRule="auto"/>
      </w:pPr>
      <w:r w:rsidRPr="0032162E">
        <w:tab/>
      </w:r>
      <w:r w:rsidRPr="0032162E">
        <w:tab/>
      </w:r>
      <w:r w:rsidRPr="0032162E">
        <w:tab/>
      </w:r>
      <w:r w:rsidRPr="0032162E">
        <w:tab/>
      </w:r>
      <w:r w:rsidRPr="0032162E">
        <w:tab/>
      </w:r>
      <w:r w:rsidRPr="0032162E">
        <w:tab/>
        <w:t>Austin, Texas 78711-3326</w:t>
      </w:r>
    </w:p>
    <w:p w14:paraId="52FA051B" w14:textId="77777777" w:rsidR="00FE39CD" w:rsidRPr="0032162E" w:rsidRDefault="00FE39CD" w:rsidP="00765DD9">
      <w:pPr>
        <w:pStyle w:val="Normaldouble"/>
        <w:keepNext/>
        <w:spacing w:line="240" w:lineRule="auto"/>
      </w:pPr>
      <w:r w:rsidRPr="0032162E">
        <w:tab/>
      </w:r>
      <w:r w:rsidRPr="0032162E">
        <w:tab/>
      </w:r>
      <w:r w:rsidRPr="0032162E">
        <w:tab/>
      </w:r>
      <w:r w:rsidRPr="0032162E">
        <w:tab/>
      </w:r>
      <w:r w:rsidRPr="0032162E">
        <w:tab/>
      </w:r>
      <w:r w:rsidRPr="0032162E">
        <w:tab/>
        <w:t>(512) 936-7465</w:t>
      </w:r>
    </w:p>
    <w:p w14:paraId="5CA2AE8E" w14:textId="77777777" w:rsidR="00FE39CD" w:rsidRPr="0032162E" w:rsidRDefault="00FE39CD" w:rsidP="00765DD9">
      <w:pPr>
        <w:pStyle w:val="Normaldouble"/>
        <w:keepNext/>
        <w:spacing w:line="240" w:lineRule="auto"/>
      </w:pPr>
      <w:r w:rsidRPr="0032162E">
        <w:tab/>
      </w:r>
      <w:r w:rsidRPr="0032162E">
        <w:tab/>
      </w:r>
      <w:r w:rsidRPr="0032162E">
        <w:tab/>
      </w:r>
      <w:r w:rsidRPr="0032162E">
        <w:tab/>
      </w:r>
      <w:r w:rsidRPr="0032162E">
        <w:tab/>
      </w:r>
      <w:r w:rsidRPr="0032162E">
        <w:tab/>
        <w:t>(512) 936-7268 (facsimile)</w:t>
      </w:r>
    </w:p>
    <w:p w14:paraId="680F5DF1" w14:textId="77777777" w:rsidR="00FE39CD" w:rsidRDefault="00FE39CD" w:rsidP="00FE39CD">
      <w:pPr>
        <w:pStyle w:val="Normaldouble"/>
        <w:spacing w:line="240" w:lineRule="auto"/>
      </w:pPr>
      <w:r w:rsidRPr="0032162E">
        <w:tab/>
      </w:r>
      <w:r w:rsidRPr="0032162E">
        <w:tab/>
      </w:r>
      <w:r w:rsidRPr="0032162E">
        <w:tab/>
      </w:r>
      <w:r w:rsidRPr="0032162E">
        <w:tab/>
      </w:r>
      <w:r w:rsidRPr="0032162E">
        <w:tab/>
      </w:r>
      <w:r w:rsidRPr="0032162E">
        <w:tab/>
      </w:r>
      <w:r w:rsidRPr="00B72868">
        <w:t>Ian.Groetsch@puc.texas.gov</w:t>
      </w:r>
    </w:p>
    <w:p w14:paraId="3093D705" w14:textId="77777777" w:rsidR="00FE39CD" w:rsidRPr="002C1177" w:rsidRDefault="00FE39CD" w:rsidP="00FE39CD">
      <w:pPr>
        <w:pStyle w:val="Normaldouble"/>
        <w:spacing w:line="240" w:lineRule="auto"/>
      </w:pPr>
      <w:r>
        <w:tab/>
      </w:r>
      <w:r>
        <w:tab/>
      </w:r>
      <w:r>
        <w:tab/>
      </w:r>
      <w:r>
        <w:tab/>
      </w:r>
      <w:r>
        <w:tab/>
      </w:r>
      <w:r>
        <w:tab/>
      </w:r>
    </w:p>
    <w:p w14:paraId="32ACA6F2" w14:textId="77777777" w:rsidR="00FE39CD" w:rsidRPr="00A21388" w:rsidRDefault="00FE39CD" w:rsidP="00FE39CD">
      <w:pPr>
        <w:rPr>
          <w:szCs w:val="24"/>
        </w:rPr>
      </w:pPr>
    </w:p>
    <w:p w14:paraId="248D5A5F" w14:textId="77777777" w:rsidR="00FE39CD" w:rsidRPr="00A21388" w:rsidRDefault="00FE39CD" w:rsidP="00FE39CD">
      <w:pPr>
        <w:rPr>
          <w:b/>
          <w:szCs w:val="24"/>
        </w:rPr>
      </w:pPr>
    </w:p>
    <w:p w14:paraId="5DD0BACA" w14:textId="77777777" w:rsidR="00FE39CD" w:rsidRPr="00A21388" w:rsidRDefault="00FE39CD" w:rsidP="00FE39CD">
      <w:pPr>
        <w:widowControl w:val="0"/>
        <w:spacing w:after="120" w:line="360" w:lineRule="auto"/>
        <w:jc w:val="center"/>
        <w:outlineLvl w:val="3"/>
        <w:rPr>
          <w:b/>
          <w:caps/>
          <w:szCs w:val="24"/>
        </w:rPr>
      </w:pPr>
      <w:r w:rsidRPr="00A21388">
        <w:rPr>
          <w:b/>
          <w:caps/>
          <w:szCs w:val="24"/>
        </w:rPr>
        <w:t xml:space="preserve">DOCKET NO. </w:t>
      </w:r>
      <w:r>
        <w:rPr>
          <w:b/>
          <w:caps/>
          <w:szCs w:val="24"/>
        </w:rPr>
        <w:t>53184</w:t>
      </w:r>
    </w:p>
    <w:p w14:paraId="2B9AADC7" w14:textId="77777777" w:rsidR="00FE39CD" w:rsidRPr="00A21388" w:rsidRDefault="00FE39CD" w:rsidP="00FE39CD">
      <w:pPr>
        <w:widowControl w:val="0"/>
        <w:jc w:val="center"/>
        <w:outlineLvl w:val="3"/>
        <w:rPr>
          <w:b/>
          <w:caps/>
          <w:szCs w:val="24"/>
        </w:rPr>
      </w:pPr>
      <w:r w:rsidRPr="00A21388">
        <w:rPr>
          <w:b/>
          <w:caps/>
          <w:szCs w:val="24"/>
        </w:rPr>
        <w:t>CERTIFICATE OF SERVICE</w:t>
      </w:r>
    </w:p>
    <w:p w14:paraId="68096F53" w14:textId="77777777" w:rsidR="00FE39CD" w:rsidRPr="00A21388" w:rsidRDefault="00FE39CD" w:rsidP="00FE39CD">
      <w:pPr>
        <w:widowControl w:val="0"/>
        <w:jc w:val="center"/>
        <w:outlineLvl w:val="3"/>
        <w:rPr>
          <w:b/>
          <w:caps/>
          <w:szCs w:val="24"/>
        </w:rPr>
      </w:pPr>
    </w:p>
    <w:p w14:paraId="4D00C0A8" w14:textId="4650552A" w:rsidR="00FE39CD" w:rsidRPr="00A21388" w:rsidRDefault="00FE39CD" w:rsidP="00FE39CD">
      <w:pPr>
        <w:widowControl w:val="0"/>
        <w:spacing w:after="120" w:line="360" w:lineRule="auto"/>
        <w:ind w:firstLine="720"/>
        <w:outlineLvl w:val="3"/>
        <w:rPr>
          <w:szCs w:val="24"/>
        </w:rPr>
      </w:pPr>
      <w:r w:rsidRPr="00A21388">
        <w:rPr>
          <w:szCs w:val="24"/>
        </w:rPr>
        <w:t xml:space="preserve">I certify that, unless otherwise ordered by the presiding officer, notice of the filing of this document was provided to all parties of record via electronic mail on </w:t>
      </w:r>
      <w:r w:rsidRPr="00A21388">
        <w:rPr>
          <w:szCs w:val="24"/>
        </w:rPr>
        <w:fldChar w:fldCharType="begin"/>
      </w:r>
      <w:r w:rsidRPr="00A21388">
        <w:rPr>
          <w:szCs w:val="24"/>
        </w:rPr>
        <w:instrText xml:space="preserve"> DATE \@ "MMMM d, yyyy" </w:instrText>
      </w:r>
      <w:r w:rsidRPr="00A21388">
        <w:rPr>
          <w:szCs w:val="24"/>
        </w:rPr>
        <w:fldChar w:fldCharType="separate"/>
      </w:r>
      <w:r w:rsidR="009B5FB0">
        <w:rPr>
          <w:noProof/>
          <w:szCs w:val="24"/>
        </w:rPr>
        <w:t>April 18, 2022</w:t>
      </w:r>
      <w:r w:rsidRPr="00A21388">
        <w:rPr>
          <w:szCs w:val="24"/>
        </w:rPr>
        <w:fldChar w:fldCharType="end"/>
      </w:r>
      <w:r w:rsidRPr="00A21388">
        <w:rPr>
          <w:szCs w:val="24"/>
        </w:rPr>
        <w:t>, in accordance with the Order Suspending Rules, issued in Project No. 50664.</w:t>
      </w:r>
    </w:p>
    <w:p w14:paraId="30EBD063" w14:textId="77777777" w:rsidR="00FE39CD" w:rsidRPr="00A21388" w:rsidRDefault="00FE39CD" w:rsidP="00FE39CD">
      <w:pPr>
        <w:widowControl w:val="0"/>
        <w:spacing w:after="120" w:line="360" w:lineRule="auto"/>
        <w:ind w:firstLine="720"/>
        <w:outlineLvl w:val="3"/>
        <w:rPr>
          <w:szCs w:val="24"/>
        </w:rPr>
      </w:pPr>
    </w:p>
    <w:p w14:paraId="61A63A42" w14:textId="77777777" w:rsidR="00FE39CD" w:rsidRPr="00B72868" w:rsidRDefault="00FE39CD" w:rsidP="00FE39CD">
      <w:pPr>
        <w:keepLines/>
        <w:ind w:left="4320"/>
        <w:rPr>
          <w:u w:val="single"/>
        </w:rPr>
      </w:pPr>
      <w:r w:rsidRPr="00B72868">
        <w:rPr>
          <w:u w:val="single"/>
        </w:rPr>
        <w:t>/s/ Ian Groetsch</w:t>
      </w:r>
    </w:p>
    <w:p w14:paraId="4115DD14" w14:textId="77777777" w:rsidR="00FE39CD" w:rsidRPr="00B72868" w:rsidRDefault="00FE39CD" w:rsidP="00FE39CD">
      <w:pPr>
        <w:keepNext/>
        <w:keepLines/>
        <w:ind w:left="4320"/>
      </w:pPr>
      <w:r w:rsidRPr="00B72868">
        <w:t>Ian Groetsch</w:t>
      </w:r>
    </w:p>
    <w:p w14:paraId="261A0708" w14:textId="09E32994" w:rsidR="00611E56" w:rsidRDefault="00611E56" w:rsidP="0013632C">
      <w:pPr>
        <w:keepNext/>
        <w:ind w:left="3600" w:firstLine="720"/>
      </w:pPr>
    </w:p>
    <w:sectPr w:rsidR="00611E56"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B9425" w14:textId="77777777" w:rsidR="00B17DAC" w:rsidRDefault="00B17DAC" w:rsidP="000406A5">
      <w:r>
        <w:separator/>
      </w:r>
    </w:p>
  </w:endnote>
  <w:endnote w:type="continuationSeparator" w:id="0">
    <w:p w14:paraId="7ADD0887" w14:textId="77777777" w:rsidR="00B17DAC" w:rsidRDefault="00B17DAC" w:rsidP="00040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5EE71" w14:textId="77777777" w:rsidR="009C1544" w:rsidRDefault="009B5FB0"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74166" w14:textId="77777777" w:rsidR="009C1544" w:rsidRDefault="009B5FB0"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BA189" w14:textId="77777777" w:rsidR="00B17DAC" w:rsidRDefault="00B17DAC" w:rsidP="000406A5">
      <w:r>
        <w:separator/>
      </w:r>
    </w:p>
  </w:footnote>
  <w:footnote w:type="continuationSeparator" w:id="0">
    <w:p w14:paraId="4DCC0D69" w14:textId="77777777" w:rsidR="00B17DAC" w:rsidRDefault="00B17DAC" w:rsidP="000406A5">
      <w:r>
        <w:continuationSeparator/>
      </w:r>
    </w:p>
  </w:footnote>
  <w:footnote w:id="1">
    <w:p w14:paraId="01C87020" w14:textId="38C88118" w:rsidR="009A0556" w:rsidRPr="009A0556" w:rsidRDefault="009A0556" w:rsidP="009B5FB0">
      <w:pPr>
        <w:pStyle w:val="FootnoteText"/>
        <w:spacing w:after="120"/>
        <w:ind w:firstLine="720"/>
      </w:pPr>
      <w:r>
        <w:rPr>
          <w:rStyle w:val="FootnoteReference"/>
        </w:rPr>
        <w:footnoteRef/>
      </w:r>
      <w:r>
        <w:t xml:space="preserve">  PUC Calendar, </w:t>
      </w:r>
      <w:r>
        <w:rPr>
          <w:i/>
          <w:iCs/>
        </w:rPr>
        <w:t xml:space="preserve">available at </w:t>
      </w:r>
      <w:hyperlink r:id="rId1" w:history="1">
        <w:r w:rsidRPr="001B3311">
          <w:rPr>
            <w:rStyle w:val="Hyperlink"/>
            <w:i/>
            <w:iCs/>
          </w:rPr>
          <w:t>https://www.puc.texas.gov/agency/calendar/Default.aspx</w:t>
        </w:r>
      </w:hyperlink>
      <w:r>
        <w:t xml:space="preserve"> (last accessed Apr. 13, 2022).</w:t>
      </w:r>
    </w:p>
  </w:footnote>
  <w:footnote w:id="2">
    <w:p w14:paraId="45428F0F" w14:textId="7092CEDB" w:rsidR="00B4376A" w:rsidRDefault="00B4376A" w:rsidP="009B5FB0">
      <w:pPr>
        <w:pStyle w:val="FootnoteText"/>
        <w:spacing w:after="120"/>
        <w:ind w:firstLine="720"/>
      </w:pPr>
      <w:r>
        <w:rPr>
          <w:rStyle w:val="FootnoteReference"/>
        </w:rPr>
        <w:footnoteRef/>
      </w:r>
      <w:r>
        <w:t xml:space="preserve">  </w:t>
      </w:r>
      <w:r w:rsidRPr="00A52E3A">
        <w:t>Motion to Dismiss</w:t>
      </w:r>
      <w:r w:rsidR="009B5FB0">
        <w:t xml:space="preserve"> </w:t>
      </w:r>
      <w:r>
        <w:t>at 2-3 (Apr. 11, 2022).</w:t>
      </w:r>
    </w:p>
  </w:footnote>
  <w:footnote w:id="3">
    <w:p w14:paraId="25BC9595" w14:textId="4C0EEE2E" w:rsidR="00F3458D" w:rsidRPr="00F3458D" w:rsidRDefault="00F3458D" w:rsidP="009B5FB0">
      <w:pPr>
        <w:pStyle w:val="FootnoteText"/>
        <w:spacing w:after="120"/>
        <w:ind w:firstLine="720"/>
      </w:pPr>
      <w:r>
        <w:rPr>
          <w:rStyle w:val="FootnoteReference"/>
        </w:rPr>
        <w:footnoteRef/>
      </w:r>
      <w:r>
        <w:t xml:space="preserve">  </w:t>
      </w:r>
      <w:r>
        <w:rPr>
          <w:i/>
          <w:iCs/>
        </w:rPr>
        <w:t>Id.</w:t>
      </w:r>
      <w:r>
        <w:t xml:space="preserve"> at 2-3 and Exhibit B.</w:t>
      </w:r>
    </w:p>
  </w:footnote>
  <w:footnote w:id="4">
    <w:p w14:paraId="4EAC7780" w14:textId="2389ECFA" w:rsidR="00F3458D" w:rsidRPr="00F3458D" w:rsidRDefault="00F3458D" w:rsidP="009B5FB0">
      <w:pPr>
        <w:pStyle w:val="FootnoteText"/>
        <w:spacing w:after="120"/>
        <w:ind w:firstLine="720"/>
      </w:pPr>
      <w:r>
        <w:rPr>
          <w:rStyle w:val="FootnoteReference"/>
        </w:rPr>
        <w:footnoteRef/>
      </w:r>
      <w:r>
        <w:t xml:space="preserve">  </w:t>
      </w:r>
      <w:r>
        <w:rPr>
          <w:i/>
          <w:iCs/>
        </w:rPr>
        <w:t xml:space="preserve">Id. </w:t>
      </w:r>
      <w:r>
        <w:t>at 2-3.</w:t>
      </w:r>
    </w:p>
  </w:footnote>
  <w:footnote w:id="5">
    <w:p w14:paraId="55F5F1B7" w14:textId="1E042F0F" w:rsidR="00DA1583" w:rsidRPr="00DA1583" w:rsidRDefault="00DA1583" w:rsidP="009B5FB0">
      <w:pPr>
        <w:pStyle w:val="FootnoteText"/>
        <w:spacing w:after="120"/>
        <w:ind w:firstLine="720"/>
      </w:pPr>
      <w:r>
        <w:rPr>
          <w:rStyle w:val="FootnoteReference"/>
        </w:rPr>
        <w:footnoteRef/>
      </w:r>
      <w:r>
        <w:t xml:space="preserve">  </w:t>
      </w:r>
      <w:r>
        <w:rPr>
          <w:i/>
          <w:iCs/>
        </w:rPr>
        <w:t xml:space="preserve">Id. </w:t>
      </w:r>
      <w:r>
        <w:t xml:space="preserve">at Exhibit </w:t>
      </w:r>
      <w:r w:rsidR="00A52E3A">
        <w:t>D</w:t>
      </w:r>
      <w:r>
        <w:t>.</w:t>
      </w:r>
    </w:p>
  </w:footnote>
  <w:footnote w:id="6">
    <w:p w14:paraId="6EDBF462" w14:textId="216368DB" w:rsidR="00A52E3A" w:rsidRPr="00A52E3A" w:rsidRDefault="00A52E3A" w:rsidP="009B5FB0">
      <w:pPr>
        <w:pStyle w:val="FootnoteText"/>
        <w:spacing w:after="120"/>
        <w:ind w:firstLine="720"/>
      </w:pPr>
      <w:r>
        <w:rPr>
          <w:rStyle w:val="FootnoteReference"/>
        </w:rPr>
        <w:footnoteRef/>
      </w:r>
      <w:r>
        <w:t xml:space="preserve">  </w:t>
      </w:r>
      <w:r>
        <w:rPr>
          <w:i/>
          <w:iCs/>
        </w:rPr>
        <w:t>Compare</w:t>
      </w:r>
      <w:r>
        <w:t xml:space="preserve"> Motion to Dismiss, Exhibit B at 11, </w:t>
      </w:r>
      <w:r>
        <w:rPr>
          <w:i/>
          <w:iCs/>
        </w:rPr>
        <w:t>and</w:t>
      </w:r>
      <w:r>
        <w:t xml:space="preserve"> Motion to Dismiss, Exhibit E at 18.</w:t>
      </w:r>
    </w:p>
  </w:footnote>
  <w:footnote w:id="7">
    <w:p w14:paraId="7EBBDA54" w14:textId="3DFAA892" w:rsidR="00C74FB4" w:rsidRDefault="00C74FB4" w:rsidP="009B5FB0">
      <w:pPr>
        <w:pStyle w:val="FootnoteText"/>
        <w:spacing w:after="120"/>
        <w:ind w:firstLine="720"/>
      </w:pPr>
      <w:r>
        <w:rPr>
          <w:rStyle w:val="FootnoteReference"/>
        </w:rPr>
        <w:footnoteRef/>
      </w:r>
      <w:r>
        <w:t xml:space="preserve">  Motion to Dismiss</w:t>
      </w:r>
      <w:r w:rsidR="006755B6">
        <w:t xml:space="preserve"> at</w:t>
      </w:r>
      <w:r>
        <w:t xml:space="preserve"> Exhibit A.</w:t>
      </w:r>
    </w:p>
  </w:footnote>
  <w:footnote w:id="8">
    <w:p w14:paraId="0781B3A6" w14:textId="4343FDD0" w:rsidR="006755B6" w:rsidRPr="006755B6" w:rsidRDefault="006755B6" w:rsidP="009B5FB0">
      <w:pPr>
        <w:pStyle w:val="FootnoteText"/>
        <w:spacing w:after="120"/>
        <w:ind w:firstLine="720"/>
      </w:pPr>
      <w:r>
        <w:rPr>
          <w:rStyle w:val="FootnoteReference"/>
        </w:rPr>
        <w:footnoteRef/>
      </w:r>
      <w:r>
        <w:t xml:space="preserve">  </w:t>
      </w:r>
      <w:r>
        <w:rPr>
          <w:i/>
          <w:iCs/>
        </w:rPr>
        <w:t xml:space="preserve">Id. </w:t>
      </w:r>
      <w:r>
        <w:t>at Exhibit D.</w:t>
      </w:r>
    </w:p>
  </w:footnote>
  <w:footnote w:id="9">
    <w:p w14:paraId="4B74AF97" w14:textId="390A2877" w:rsidR="00CB0783" w:rsidRPr="00CB0783" w:rsidRDefault="00CB0783" w:rsidP="009B5FB0">
      <w:pPr>
        <w:pStyle w:val="FootnoteText"/>
        <w:spacing w:after="120"/>
        <w:ind w:firstLine="720"/>
      </w:pPr>
      <w:r>
        <w:rPr>
          <w:rStyle w:val="FootnoteReference"/>
        </w:rPr>
        <w:footnoteRef/>
      </w:r>
      <w:r>
        <w:t xml:space="preserve">  </w:t>
      </w:r>
      <w:r>
        <w:rPr>
          <w:i/>
          <w:iCs/>
        </w:rPr>
        <w:t>Appeal of Robert Wynne of the Cost of Obtaining Service from El Oso Water Supply Corporation</w:t>
      </w:r>
      <w:r>
        <w:t>, Docket No. 52166</w:t>
      </w:r>
      <w:r w:rsidR="004D0169">
        <w:t>, Original Response</w:t>
      </w:r>
      <w:r w:rsidR="006317DB">
        <w:t xml:space="preserve"> at 5 (Jun</w:t>
      </w:r>
      <w:r w:rsidR="004D0169">
        <w:t>.</w:t>
      </w:r>
      <w:r w:rsidR="006317DB">
        <w:t xml:space="preserve"> 3, 2022)</w:t>
      </w:r>
      <w:r w:rsidR="004D0169">
        <w:t xml:space="preserve"> </w:t>
      </w:r>
      <w:r w:rsidR="004D0169" w:rsidRPr="004D0169">
        <w:t>(Wynne Response)</w:t>
      </w:r>
      <w:r w:rsidR="006317DB">
        <w:t>.</w:t>
      </w:r>
    </w:p>
  </w:footnote>
  <w:footnote w:id="10">
    <w:p w14:paraId="1E24B84B" w14:textId="25CF1AD4" w:rsidR="006317DB" w:rsidRPr="006317DB" w:rsidRDefault="006317DB" w:rsidP="009B5FB0">
      <w:pPr>
        <w:pStyle w:val="FootnoteText"/>
        <w:spacing w:after="120"/>
        <w:ind w:firstLine="720"/>
      </w:pPr>
      <w:r>
        <w:rPr>
          <w:rStyle w:val="FootnoteReference"/>
        </w:rPr>
        <w:footnoteRef/>
      </w:r>
      <w:r>
        <w:t xml:space="preserve">  Docket No. 52166</w:t>
      </w:r>
      <w:r w:rsidR="004D0169">
        <w:t>, Appeal of Robert Wynne</w:t>
      </w:r>
      <w:r>
        <w:t xml:space="preserve"> (May 27, 2021).</w:t>
      </w:r>
    </w:p>
  </w:footnote>
  <w:footnote w:id="11">
    <w:p w14:paraId="71666AE7" w14:textId="0A7E3265" w:rsidR="00066826" w:rsidRDefault="00066826" w:rsidP="009B5FB0">
      <w:pPr>
        <w:pStyle w:val="FootnoteText"/>
        <w:spacing w:after="120"/>
        <w:ind w:firstLine="720"/>
      </w:pPr>
      <w:r>
        <w:rPr>
          <w:rStyle w:val="FootnoteReference"/>
        </w:rPr>
        <w:footnoteRef/>
      </w:r>
      <w:r>
        <w:t xml:space="preserve">  Wynne Response at 5.</w:t>
      </w:r>
    </w:p>
  </w:footnote>
  <w:footnote w:id="12">
    <w:p w14:paraId="22326D96" w14:textId="06A11D0F" w:rsidR="00066826" w:rsidRPr="00066826" w:rsidRDefault="00066826" w:rsidP="009B5FB0">
      <w:pPr>
        <w:pStyle w:val="FootnoteText"/>
        <w:spacing w:after="120"/>
        <w:ind w:firstLine="720"/>
      </w:pPr>
      <w:r>
        <w:rPr>
          <w:rStyle w:val="FootnoteReference"/>
        </w:rPr>
        <w:footnoteRef/>
      </w:r>
      <w:r>
        <w:t xml:space="preserve">  Docket No. </w:t>
      </w:r>
      <w:r w:rsidR="00DB3AAD">
        <w:t>52166, Order Nos. 3 and 4 (Jul</w:t>
      </w:r>
      <w:r w:rsidR="004D0169">
        <w:t>.</w:t>
      </w:r>
      <w:r w:rsidR="00DB3AAD">
        <w:t xml:space="preserve"> 20, </w:t>
      </w:r>
      <w:proofErr w:type="gramStart"/>
      <w:r w:rsidR="00DB3AAD">
        <w:t>2021</w:t>
      </w:r>
      <w:proofErr w:type="gramEnd"/>
      <w:r w:rsidR="00DB3AAD">
        <w:t xml:space="preserve"> and Aug. 16, 2021, respectively).</w:t>
      </w:r>
    </w:p>
  </w:footnote>
  <w:footnote w:id="13">
    <w:p w14:paraId="32AC8E85" w14:textId="6DE47614" w:rsidR="00765DD9" w:rsidRPr="00765DD9" w:rsidRDefault="00765DD9" w:rsidP="009B5FB0">
      <w:pPr>
        <w:pStyle w:val="FootnoteText"/>
        <w:spacing w:after="120"/>
        <w:ind w:firstLine="720"/>
      </w:pPr>
      <w:r>
        <w:rPr>
          <w:rStyle w:val="FootnoteReference"/>
        </w:rPr>
        <w:footnoteRef/>
      </w:r>
      <w:r>
        <w:t xml:space="preserve">  </w:t>
      </w:r>
      <w:r w:rsidRPr="009B5FB0">
        <w:t>Commission Staff’s Recommendation on Administrative Completeness of the Petition and Notice</w:t>
      </w:r>
      <w:r>
        <w:t xml:space="preserve"> (Mar. 7, 2022).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A37AC2"/>
    <w:multiLevelType w:val="hybridMultilevel"/>
    <w:tmpl w:val="EC0C2FDA"/>
    <w:lvl w:ilvl="0" w:tplc="79FE60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6A5"/>
    <w:rsid w:val="00010805"/>
    <w:rsid w:val="00023694"/>
    <w:rsid w:val="00026281"/>
    <w:rsid w:val="000406A5"/>
    <w:rsid w:val="00046F80"/>
    <w:rsid w:val="000641D0"/>
    <w:rsid w:val="00066826"/>
    <w:rsid w:val="0009039F"/>
    <w:rsid w:val="00090DAB"/>
    <w:rsid w:val="00093ABB"/>
    <w:rsid w:val="000A7B43"/>
    <w:rsid w:val="000B58C8"/>
    <w:rsid w:val="000C287F"/>
    <w:rsid w:val="000F4998"/>
    <w:rsid w:val="001267D0"/>
    <w:rsid w:val="0013632C"/>
    <w:rsid w:val="001463E7"/>
    <w:rsid w:val="001662C0"/>
    <w:rsid w:val="00173CD0"/>
    <w:rsid w:val="00182B52"/>
    <w:rsid w:val="001B0421"/>
    <w:rsid w:val="001F5824"/>
    <w:rsid w:val="00213260"/>
    <w:rsid w:val="002135D6"/>
    <w:rsid w:val="00223DD7"/>
    <w:rsid w:val="00227CB5"/>
    <w:rsid w:val="00253FDD"/>
    <w:rsid w:val="00271173"/>
    <w:rsid w:val="0027292C"/>
    <w:rsid w:val="002748F5"/>
    <w:rsid w:val="00282333"/>
    <w:rsid w:val="0028686D"/>
    <w:rsid w:val="002875AF"/>
    <w:rsid w:val="00291E1F"/>
    <w:rsid w:val="002D3DED"/>
    <w:rsid w:val="002E49BA"/>
    <w:rsid w:val="00302564"/>
    <w:rsid w:val="00313D22"/>
    <w:rsid w:val="00326888"/>
    <w:rsid w:val="00353564"/>
    <w:rsid w:val="0037599A"/>
    <w:rsid w:val="00380E64"/>
    <w:rsid w:val="00393B0B"/>
    <w:rsid w:val="003A4173"/>
    <w:rsid w:val="003B6936"/>
    <w:rsid w:val="003E6BC3"/>
    <w:rsid w:val="00402EE3"/>
    <w:rsid w:val="004930A8"/>
    <w:rsid w:val="004A6E1A"/>
    <w:rsid w:val="004C117D"/>
    <w:rsid w:val="004D0169"/>
    <w:rsid w:val="004D75A1"/>
    <w:rsid w:val="004F31CC"/>
    <w:rsid w:val="00511F11"/>
    <w:rsid w:val="00547438"/>
    <w:rsid w:val="0055580D"/>
    <w:rsid w:val="00556C21"/>
    <w:rsid w:val="00580B3C"/>
    <w:rsid w:val="005944C8"/>
    <w:rsid w:val="005B05A5"/>
    <w:rsid w:val="005B364A"/>
    <w:rsid w:val="005D0300"/>
    <w:rsid w:val="005D7D1F"/>
    <w:rsid w:val="005E46DB"/>
    <w:rsid w:val="00611E56"/>
    <w:rsid w:val="006317DB"/>
    <w:rsid w:val="0065095E"/>
    <w:rsid w:val="006755B6"/>
    <w:rsid w:val="0069687C"/>
    <w:rsid w:val="006C29C3"/>
    <w:rsid w:val="006C66EE"/>
    <w:rsid w:val="006C7F9C"/>
    <w:rsid w:val="006E7586"/>
    <w:rsid w:val="00701BB4"/>
    <w:rsid w:val="00716E95"/>
    <w:rsid w:val="00765DD9"/>
    <w:rsid w:val="007676A8"/>
    <w:rsid w:val="007D5BC4"/>
    <w:rsid w:val="007E7307"/>
    <w:rsid w:val="007E7CAE"/>
    <w:rsid w:val="0081070E"/>
    <w:rsid w:val="008128A2"/>
    <w:rsid w:val="00853893"/>
    <w:rsid w:val="00855670"/>
    <w:rsid w:val="0087692F"/>
    <w:rsid w:val="00876BAE"/>
    <w:rsid w:val="008A7478"/>
    <w:rsid w:val="008D13E7"/>
    <w:rsid w:val="008D5A70"/>
    <w:rsid w:val="008D7379"/>
    <w:rsid w:val="008E29A0"/>
    <w:rsid w:val="008E545F"/>
    <w:rsid w:val="008E769E"/>
    <w:rsid w:val="008F79E1"/>
    <w:rsid w:val="009129E3"/>
    <w:rsid w:val="00912B22"/>
    <w:rsid w:val="00933FE1"/>
    <w:rsid w:val="009347E2"/>
    <w:rsid w:val="009413E3"/>
    <w:rsid w:val="00962DEA"/>
    <w:rsid w:val="00964E18"/>
    <w:rsid w:val="009A011C"/>
    <w:rsid w:val="009A0556"/>
    <w:rsid w:val="009A0D70"/>
    <w:rsid w:val="009B5FB0"/>
    <w:rsid w:val="009C46B6"/>
    <w:rsid w:val="009D5FBF"/>
    <w:rsid w:val="009E5934"/>
    <w:rsid w:val="009F38DC"/>
    <w:rsid w:val="009F44FB"/>
    <w:rsid w:val="00A0531F"/>
    <w:rsid w:val="00A10C61"/>
    <w:rsid w:val="00A52E3A"/>
    <w:rsid w:val="00A54178"/>
    <w:rsid w:val="00A71EBD"/>
    <w:rsid w:val="00A961BF"/>
    <w:rsid w:val="00AB1842"/>
    <w:rsid w:val="00B127AE"/>
    <w:rsid w:val="00B12A52"/>
    <w:rsid w:val="00B17DAC"/>
    <w:rsid w:val="00B4376A"/>
    <w:rsid w:val="00B44A19"/>
    <w:rsid w:val="00B47356"/>
    <w:rsid w:val="00B70721"/>
    <w:rsid w:val="00B80401"/>
    <w:rsid w:val="00B90BF3"/>
    <w:rsid w:val="00BE1160"/>
    <w:rsid w:val="00C147D1"/>
    <w:rsid w:val="00C33858"/>
    <w:rsid w:val="00C33EA5"/>
    <w:rsid w:val="00C52E5B"/>
    <w:rsid w:val="00C74FB4"/>
    <w:rsid w:val="00C915E8"/>
    <w:rsid w:val="00CA11ED"/>
    <w:rsid w:val="00CA7137"/>
    <w:rsid w:val="00CB0783"/>
    <w:rsid w:val="00CD1EA2"/>
    <w:rsid w:val="00D12B69"/>
    <w:rsid w:val="00D838A2"/>
    <w:rsid w:val="00DA1538"/>
    <w:rsid w:val="00DA1583"/>
    <w:rsid w:val="00DA408D"/>
    <w:rsid w:val="00DA5CEA"/>
    <w:rsid w:val="00DB0B90"/>
    <w:rsid w:val="00DB10CC"/>
    <w:rsid w:val="00DB3AAD"/>
    <w:rsid w:val="00DD1974"/>
    <w:rsid w:val="00E01280"/>
    <w:rsid w:val="00E03B33"/>
    <w:rsid w:val="00E06FBA"/>
    <w:rsid w:val="00E129B9"/>
    <w:rsid w:val="00E20F32"/>
    <w:rsid w:val="00E25724"/>
    <w:rsid w:val="00E34592"/>
    <w:rsid w:val="00E37965"/>
    <w:rsid w:val="00E944C8"/>
    <w:rsid w:val="00EB6100"/>
    <w:rsid w:val="00EE39D8"/>
    <w:rsid w:val="00EE452D"/>
    <w:rsid w:val="00F1148C"/>
    <w:rsid w:val="00F14BC6"/>
    <w:rsid w:val="00F31187"/>
    <w:rsid w:val="00F3458D"/>
    <w:rsid w:val="00F624B2"/>
    <w:rsid w:val="00F75211"/>
    <w:rsid w:val="00F77505"/>
    <w:rsid w:val="00F804D3"/>
    <w:rsid w:val="00FA61D0"/>
    <w:rsid w:val="00FB48F1"/>
    <w:rsid w:val="00FD4446"/>
    <w:rsid w:val="00FE3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9F7CD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32C"/>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0406A5"/>
    <w:pPr>
      <w:jc w:val="center"/>
    </w:pPr>
    <w:rPr>
      <w:b/>
      <w:caps/>
      <w:sz w:val="28"/>
    </w:rPr>
  </w:style>
  <w:style w:type="paragraph" w:customStyle="1" w:styleId="Docketstyle">
    <w:name w:val="Docket style"/>
    <w:basedOn w:val="Normal"/>
    <w:rsid w:val="000406A5"/>
    <w:pPr>
      <w:keepNext/>
      <w:tabs>
        <w:tab w:val="center" w:pos="4770"/>
        <w:tab w:val="left" w:pos="5400"/>
      </w:tabs>
      <w:spacing w:line="288" w:lineRule="auto"/>
    </w:pPr>
    <w:rPr>
      <w:b/>
      <w:caps/>
    </w:rPr>
  </w:style>
  <w:style w:type="paragraph" w:customStyle="1" w:styleId="Documentheading">
    <w:name w:val="Document heading"/>
    <w:basedOn w:val="Normal"/>
    <w:rsid w:val="000406A5"/>
    <w:pPr>
      <w:keepNext/>
      <w:jc w:val="center"/>
    </w:pPr>
    <w:rPr>
      <w:b/>
      <w:caps/>
      <w:sz w:val="28"/>
    </w:rPr>
  </w:style>
  <w:style w:type="paragraph" w:styleId="Footer">
    <w:name w:val="footer"/>
    <w:basedOn w:val="Normal"/>
    <w:link w:val="FooterChar"/>
    <w:rsid w:val="000406A5"/>
    <w:pPr>
      <w:tabs>
        <w:tab w:val="center" w:pos="4680"/>
        <w:tab w:val="right" w:pos="9360"/>
      </w:tabs>
      <w:spacing w:line="240" w:lineRule="atLeast"/>
    </w:pPr>
    <w:rPr>
      <w:sz w:val="16"/>
    </w:rPr>
  </w:style>
  <w:style w:type="character" w:customStyle="1" w:styleId="FooterChar">
    <w:name w:val="Footer Char"/>
    <w:basedOn w:val="DefaultParagraphFont"/>
    <w:link w:val="Footer"/>
    <w:rsid w:val="000406A5"/>
    <w:rPr>
      <w:rFonts w:ascii="Times New Roman" w:eastAsia="Times New Roman" w:hAnsi="Times New Roman" w:cs="Times New Roman"/>
      <w:sz w:val="16"/>
      <w:szCs w:val="20"/>
    </w:rPr>
  </w:style>
  <w:style w:type="paragraph" w:customStyle="1" w:styleId="Normaldouble">
    <w:name w:val="Normal double"/>
    <w:basedOn w:val="Normal"/>
    <w:link w:val="NormaldoubleChar"/>
    <w:rsid w:val="000406A5"/>
    <w:pPr>
      <w:spacing w:line="480" w:lineRule="auto"/>
    </w:pPr>
  </w:style>
  <w:style w:type="paragraph" w:styleId="ListParagraph">
    <w:name w:val="List Paragraph"/>
    <w:basedOn w:val="Normal"/>
    <w:uiPriority w:val="34"/>
    <w:qFormat/>
    <w:rsid w:val="000406A5"/>
    <w:pPr>
      <w:ind w:left="720"/>
      <w:contextualSpacing/>
    </w:pPr>
  </w:style>
  <w:style w:type="character" w:customStyle="1" w:styleId="NormaldoubleChar">
    <w:name w:val="Normal double Char"/>
    <w:link w:val="Normaldouble"/>
    <w:rsid w:val="000406A5"/>
    <w:rPr>
      <w:rFonts w:ascii="Times New Roman" w:eastAsia="Times New Roman" w:hAnsi="Times New Roman" w:cs="Times New Roman"/>
      <w:sz w:val="24"/>
      <w:szCs w:val="20"/>
    </w:rPr>
  </w:style>
  <w:style w:type="paragraph" w:customStyle="1" w:styleId="Default">
    <w:name w:val="Default"/>
    <w:rsid w:val="000406A5"/>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uiPriority w:val="39"/>
    <w:rsid w:val="00040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0406A5"/>
    <w:rPr>
      <w:sz w:val="20"/>
    </w:rPr>
  </w:style>
  <w:style w:type="character" w:customStyle="1" w:styleId="FootnoteTextChar">
    <w:name w:val="Footnote Text Char"/>
    <w:basedOn w:val="DefaultParagraphFont"/>
    <w:link w:val="FootnoteText"/>
    <w:semiHidden/>
    <w:rsid w:val="000406A5"/>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0406A5"/>
    <w:rPr>
      <w:vertAlign w:val="superscript"/>
    </w:rPr>
  </w:style>
  <w:style w:type="paragraph" w:styleId="BalloonText">
    <w:name w:val="Balloon Text"/>
    <w:basedOn w:val="Normal"/>
    <w:link w:val="BalloonTextChar"/>
    <w:uiPriority w:val="99"/>
    <w:semiHidden/>
    <w:unhideWhenUsed/>
    <w:rsid w:val="00F114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148C"/>
    <w:rPr>
      <w:rFonts w:ascii="Segoe UI" w:eastAsia="Times New Roman" w:hAnsi="Segoe UI" w:cs="Segoe UI"/>
      <w:sz w:val="18"/>
      <w:szCs w:val="18"/>
    </w:rPr>
  </w:style>
  <w:style w:type="paragraph" w:styleId="Header">
    <w:name w:val="header"/>
    <w:basedOn w:val="Normal"/>
    <w:link w:val="HeaderChar"/>
    <w:uiPriority w:val="99"/>
    <w:unhideWhenUsed/>
    <w:rsid w:val="00F624B2"/>
    <w:pPr>
      <w:tabs>
        <w:tab w:val="center" w:pos="4680"/>
        <w:tab w:val="right" w:pos="9360"/>
      </w:tabs>
    </w:pPr>
  </w:style>
  <w:style w:type="character" w:customStyle="1" w:styleId="HeaderChar">
    <w:name w:val="Header Char"/>
    <w:basedOn w:val="DefaultParagraphFont"/>
    <w:link w:val="Header"/>
    <w:uiPriority w:val="99"/>
    <w:rsid w:val="00F624B2"/>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5B364A"/>
    <w:rPr>
      <w:sz w:val="16"/>
      <w:szCs w:val="16"/>
    </w:rPr>
  </w:style>
  <w:style w:type="paragraph" w:styleId="CommentText">
    <w:name w:val="annotation text"/>
    <w:basedOn w:val="Normal"/>
    <w:link w:val="CommentTextChar"/>
    <w:uiPriority w:val="99"/>
    <w:semiHidden/>
    <w:unhideWhenUsed/>
    <w:rsid w:val="005B364A"/>
    <w:rPr>
      <w:sz w:val="20"/>
    </w:rPr>
  </w:style>
  <w:style w:type="character" w:customStyle="1" w:styleId="CommentTextChar">
    <w:name w:val="Comment Text Char"/>
    <w:basedOn w:val="DefaultParagraphFont"/>
    <w:link w:val="CommentText"/>
    <w:uiPriority w:val="99"/>
    <w:semiHidden/>
    <w:rsid w:val="005B364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B364A"/>
    <w:rPr>
      <w:b/>
      <w:bCs/>
    </w:rPr>
  </w:style>
  <w:style w:type="character" w:customStyle="1" w:styleId="CommentSubjectChar">
    <w:name w:val="Comment Subject Char"/>
    <w:basedOn w:val="CommentTextChar"/>
    <w:link w:val="CommentSubject"/>
    <w:uiPriority w:val="99"/>
    <w:semiHidden/>
    <w:rsid w:val="005B364A"/>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8D7379"/>
    <w:rPr>
      <w:szCs w:val="24"/>
    </w:rPr>
  </w:style>
  <w:style w:type="character" w:styleId="Hyperlink">
    <w:name w:val="Hyperlink"/>
    <w:basedOn w:val="DefaultParagraphFont"/>
    <w:uiPriority w:val="99"/>
    <w:unhideWhenUsed/>
    <w:rsid w:val="008D7379"/>
    <w:rPr>
      <w:color w:val="0563C1" w:themeColor="hyperlink"/>
      <w:u w:val="single"/>
    </w:rPr>
  </w:style>
  <w:style w:type="character" w:styleId="UnresolvedMention">
    <w:name w:val="Unresolved Mention"/>
    <w:basedOn w:val="DefaultParagraphFont"/>
    <w:uiPriority w:val="99"/>
    <w:semiHidden/>
    <w:unhideWhenUsed/>
    <w:rsid w:val="008D7379"/>
    <w:rPr>
      <w:color w:val="605E5C"/>
      <w:shd w:val="clear" w:color="auto" w:fill="E1DFDD"/>
    </w:rPr>
  </w:style>
  <w:style w:type="character" w:styleId="FollowedHyperlink">
    <w:name w:val="FollowedHyperlink"/>
    <w:basedOn w:val="DefaultParagraphFont"/>
    <w:uiPriority w:val="99"/>
    <w:semiHidden/>
    <w:unhideWhenUsed/>
    <w:rsid w:val="008D13E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37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puc.texas.gov/agency/calendar/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81488-8C1F-4E6F-A4A3-58440E172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869</Words>
  <Characters>4956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2022-04-15T18:38:00Z</dcterms:created>
  <dcterms:modified xsi:type="dcterms:W3CDTF">2022-04-18T13:49:00Z</dcterms:modified>
</cp:coreProperties>
</file>